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713C" w:rsidRDefault="00F2713C" w:rsidP="00F2713C">
      <w:pPr>
        <w:jc w:val="both"/>
        <w:rPr>
          <w:rFonts w:ascii="Verdana" w:hAnsi="Verdana"/>
          <w:b/>
          <w:color w:val="8496B0"/>
          <w:sz w:val="18"/>
          <w:szCs w:val="18"/>
          <w:u w:val="single"/>
        </w:rPr>
      </w:pPr>
    </w:p>
    <w:p w:rsidR="00F2713C" w:rsidRDefault="00F2713C" w:rsidP="00F2713C">
      <w:pPr>
        <w:jc w:val="both"/>
        <w:rPr>
          <w:rFonts w:ascii="Verdana" w:hAnsi="Verdana"/>
          <w:b/>
          <w:color w:val="8496B0"/>
          <w:sz w:val="18"/>
          <w:szCs w:val="18"/>
          <w:u w:val="single"/>
        </w:rPr>
      </w:pPr>
    </w:p>
    <w:p w:rsidR="00D625B4" w:rsidRDefault="00D625B4" w:rsidP="00F2713C">
      <w:pPr>
        <w:jc w:val="both"/>
        <w:rPr>
          <w:rFonts w:ascii="Verdana" w:hAnsi="Verdana"/>
          <w:b/>
          <w:color w:val="8496B0"/>
          <w:sz w:val="18"/>
          <w:szCs w:val="18"/>
          <w:u w:val="single"/>
        </w:rPr>
      </w:pPr>
    </w:p>
    <w:p w:rsidR="00D625B4" w:rsidRDefault="00D625B4" w:rsidP="00F2713C">
      <w:pPr>
        <w:jc w:val="both"/>
        <w:rPr>
          <w:rFonts w:ascii="Verdana" w:hAnsi="Verdana"/>
          <w:b/>
          <w:color w:val="8496B0"/>
          <w:sz w:val="18"/>
          <w:szCs w:val="18"/>
          <w:u w:val="single"/>
        </w:rPr>
      </w:pPr>
      <w:bookmarkStart w:id="0" w:name="_GoBack"/>
      <w:bookmarkEnd w:id="0"/>
    </w:p>
    <w:p w:rsidR="00F2713C" w:rsidRPr="00927C28" w:rsidRDefault="00F2713C" w:rsidP="00F2713C">
      <w:pPr>
        <w:jc w:val="both"/>
        <w:rPr>
          <w:rFonts w:ascii="Verdana" w:hAnsi="Verdana"/>
          <w:b/>
          <w:color w:val="8496B0"/>
          <w:sz w:val="18"/>
          <w:szCs w:val="18"/>
          <w:u w:val="single"/>
        </w:rPr>
      </w:pPr>
      <w:r w:rsidRPr="00927C28">
        <w:rPr>
          <w:rFonts w:ascii="Verdana" w:hAnsi="Verdana"/>
          <w:b/>
          <w:color w:val="8496B0"/>
          <w:sz w:val="18"/>
          <w:szCs w:val="18"/>
          <w:u w:val="single"/>
        </w:rPr>
        <w:t>TERMS &amp; CONDITIONS FOR EDUCATION BUSINESS SERVICES (STOKE) LTD</w:t>
      </w:r>
    </w:p>
    <w:p w:rsidR="00F2713C" w:rsidRPr="00927C28" w:rsidRDefault="00F2713C" w:rsidP="00F2713C">
      <w:pPr>
        <w:jc w:val="both"/>
        <w:rPr>
          <w:rFonts w:ascii="Verdana" w:hAnsi="Verdana"/>
          <w:sz w:val="18"/>
          <w:szCs w:val="18"/>
        </w:rPr>
      </w:pPr>
    </w:p>
    <w:p w:rsidR="00F2713C" w:rsidRPr="00927C28" w:rsidRDefault="00F2713C" w:rsidP="00F2713C">
      <w:pPr>
        <w:tabs>
          <w:tab w:val="left" w:pos="709"/>
        </w:tabs>
        <w:jc w:val="both"/>
        <w:rPr>
          <w:rFonts w:ascii="Verdana" w:hAnsi="Verdana" w:cs="Calibri"/>
          <w:sz w:val="18"/>
          <w:szCs w:val="18"/>
        </w:rPr>
      </w:pPr>
      <w:r w:rsidRPr="00927C28">
        <w:rPr>
          <w:rFonts w:ascii="Verdana" w:hAnsi="Verdana" w:cs="Calibri"/>
          <w:sz w:val="18"/>
          <w:szCs w:val="18"/>
        </w:rPr>
        <w:t>The post is offered on an Education Business Services (Stoke) Ltd contract.</w:t>
      </w:r>
    </w:p>
    <w:p w:rsidR="00F2713C" w:rsidRPr="00927C28" w:rsidRDefault="00F2713C" w:rsidP="00F2713C">
      <w:pPr>
        <w:jc w:val="both"/>
        <w:rPr>
          <w:rFonts w:ascii="Verdana" w:hAnsi="Verdana" w:cs="HelveticaNeue-Bold"/>
          <w:b/>
          <w:bCs/>
          <w:color w:val="4FC800"/>
          <w:sz w:val="18"/>
          <w:szCs w:val="18"/>
        </w:rPr>
      </w:pPr>
    </w:p>
    <w:p w:rsidR="00F2713C" w:rsidRPr="00927C28" w:rsidRDefault="00F2713C" w:rsidP="00F2713C">
      <w:pPr>
        <w:jc w:val="both"/>
        <w:rPr>
          <w:rFonts w:ascii="Verdana" w:hAnsi="Verdana" w:cs="HelveticaNeue-Bold"/>
          <w:b/>
          <w:bCs/>
          <w:color w:val="4FC800"/>
          <w:sz w:val="18"/>
          <w:szCs w:val="18"/>
        </w:rPr>
      </w:pPr>
      <w:r w:rsidRPr="00927C28">
        <w:rPr>
          <w:rFonts w:ascii="Verdana" w:hAnsi="Verdana" w:cs="HelveticaNeue-Bold"/>
          <w:b/>
          <w:bCs/>
          <w:color w:val="4FC800"/>
          <w:sz w:val="18"/>
          <w:szCs w:val="18"/>
        </w:rPr>
        <w:t>Conditions of Appointment</w:t>
      </w:r>
    </w:p>
    <w:p w:rsidR="00F2713C" w:rsidRPr="00927C28" w:rsidRDefault="00F2713C" w:rsidP="00F2713C">
      <w:pPr>
        <w:jc w:val="both"/>
        <w:rPr>
          <w:rFonts w:ascii="Verdana" w:hAnsi="Verdana" w:cs="HelveticaNeue-Light"/>
          <w:color w:val="000000"/>
          <w:sz w:val="18"/>
          <w:szCs w:val="18"/>
        </w:rPr>
      </w:pPr>
      <w:r w:rsidRPr="00927C28">
        <w:rPr>
          <w:rFonts w:ascii="Verdana" w:hAnsi="Verdana" w:cs="HelveticaNeue-Light"/>
          <w:color w:val="000000"/>
          <w:sz w:val="18"/>
          <w:szCs w:val="18"/>
        </w:rPr>
        <w:t>All appointments are offered subject to a period of probationary service up to twelve months, during which time performance will be assessed. In addition, all appointments are subject to:</w:t>
      </w:r>
    </w:p>
    <w:p w:rsidR="00F2713C" w:rsidRPr="00927C28" w:rsidRDefault="00F2713C" w:rsidP="00F2713C">
      <w:pPr>
        <w:jc w:val="both"/>
        <w:rPr>
          <w:rFonts w:ascii="Verdana" w:hAnsi="Verdana" w:cs="HelveticaNeue-LightItalic"/>
          <w:i/>
          <w:iCs/>
          <w:color w:val="000000"/>
          <w:sz w:val="18"/>
          <w:szCs w:val="18"/>
        </w:rPr>
      </w:pPr>
      <w:r w:rsidRPr="00927C28">
        <w:rPr>
          <w:rFonts w:ascii="Verdana" w:hAnsi="Verdana" w:cs="HelveticaNeue-LightItalic"/>
          <w:i/>
          <w:iCs/>
          <w:color w:val="000000"/>
          <w:sz w:val="18"/>
          <w:szCs w:val="18"/>
        </w:rPr>
        <w:t>• medical review</w:t>
      </w:r>
    </w:p>
    <w:p w:rsidR="00F2713C" w:rsidRPr="00927C28" w:rsidRDefault="00F2713C" w:rsidP="00F2713C">
      <w:pPr>
        <w:jc w:val="both"/>
        <w:rPr>
          <w:rFonts w:ascii="Verdana" w:hAnsi="Verdana" w:cs="HelveticaNeue-LightItalic"/>
          <w:i/>
          <w:iCs/>
          <w:color w:val="000000"/>
          <w:sz w:val="18"/>
          <w:szCs w:val="18"/>
        </w:rPr>
      </w:pPr>
      <w:r w:rsidRPr="00927C28">
        <w:rPr>
          <w:rFonts w:ascii="Verdana" w:hAnsi="Verdana" w:cs="HelveticaNeue-LightItalic"/>
          <w:i/>
          <w:iCs/>
          <w:color w:val="000000"/>
          <w:sz w:val="18"/>
          <w:szCs w:val="18"/>
        </w:rPr>
        <w:t>• verification of relevant qualifications</w:t>
      </w:r>
    </w:p>
    <w:p w:rsidR="00F2713C" w:rsidRPr="00927C28" w:rsidRDefault="00F2713C" w:rsidP="00F2713C">
      <w:pPr>
        <w:jc w:val="both"/>
        <w:rPr>
          <w:rFonts w:ascii="Verdana" w:hAnsi="Verdana" w:cs="HelveticaNeue-LightItalic"/>
          <w:i/>
          <w:iCs/>
          <w:color w:val="000000"/>
          <w:sz w:val="18"/>
          <w:szCs w:val="18"/>
        </w:rPr>
      </w:pPr>
      <w:r w:rsidRPr="00927C28">
        <w:rPr>
          <w:rFonts w:ascii="Verdana" w:hAnsi="Verdana" w:cs="HelveticaNeue-LightItalic"/>
          <w:i/>
          <w:iCs/>
          <w:color w:val="000000"/>
          <w:sz w:val="18"/>
          <w:szCs w:val="18"/>
        </w:rPr>
        <w:t>• receipt of references considered suitable by the Company</w:t>
      </w:r>
    </w:p>
    <w:p w:rsidR="00F2713C" w:rsidRPr="00927C28" w:rsidRDefault="00F2713C" w:rsidP="00F2713C">
      <w:pPr>
        <w:jc w:val="both"/>
        <w:rPr>
          <w:rFonts w:ascii="Verdana" w:hAnsi="Verdana" w:cs="HelveticaNeue-LightItalic"/>
          <w:i/>
          <w:iCs/>
          <w:color w:val="000000"/>
          <w:sz w:val="18"/>
          <w:szCs w:val="18"/>
        </w:rPr>
      </w:pPr>
      <w:r w:rsidRPr="00927C28">
        <w:rPr>
          <w:rFonts w:ascii="Verdana" w:hAnsi="Verdana" w:cs="HelveticaNeue-LightItalic"/>
          <w:i/>
          <w:iCs/>
          <w:color w:val="000000"/>
          <w:sz w:val="18"/>
          <w:szCs w:val="18"/>
        </w:rPr>
        <w:t>• a satisfactory enhanced Disclosure check</w:t>
      </w:r>
    </w:p>
    <w:p w:rsidR="00F2713C" w:rsidRPr="00927C28" w:rsidRDefault="00F2713C" w:rsidP="00F2713C">
      <w:pPr>
        <w:jc w:val="both"/>
        <w:rPr>
          <w:rFonts w:ascii="Verdana" w:hAnsi="Verdana" w:cs="HelveticaNeue-Bold"/>
          <w:b/>
          <w:bCs/>
          <w:color w:val="4FC800"/>
          <w:sz w:val="18"/>
          <w:szCs w:val="18"/>
        </w:rPr>
      </w:pPr>
    </w:p>
    <w:p w:rsidR="00F2713C" w:rsidRPr="00927C28" w:rsidRDefault="00F2713C" w:rsidP="00F2713C">
      <w:pPr>
        <w:jc w:val="both"/>
        <w:rPr>
          <w:rFonts w:ascii="Verdana" w:hAnsi="Verdana" w:cs="HelveticaNeue-Bold"/>
          <w:b/>
          <w:bCs/>
          <w:color w:val="4FC800"/>
          <w:sz w:val="18"/>
          <w:szCs w:val="18"/>
        </w:rPr>
      </w:pPr>
      <w:r w:rsidRPr="00927C28">
        <w:rPr>
          <w:rFonts w:ascii="Verdana" w:hAnsi="Verdana" w:cs="HelveticaNeue-Bold"/>
          <w:b/>
          <w:bCs/>
          <w:color w:val="4FC800"/>
          <w:sz w:val="18"/>
          <w:szCs w:val="18"/>
        </w:rPr>
        <w:t>Pension Arrangements</w:t>
      </w:r>
    </w:p>
    <w:p w:rsidR="00F2713C" w:rsidRPr="00927C28" w:rsidRDefault="00F2713C" w:rsidP="00F2713C">
      <w:pPr>
        <w:jc w:val="both"/>
        <w:rPr>
          <w:rFonts w:ascii="Verdana" w:hAnsi="Verdana" w:cs="HelveticaNeue-Light"/>
          <w:color w:val="000000"/>
          <w:sz w:val="18"/>
          <w:szCs w:val="18"/>
        </w:rPr>
      </w:pPr>
      <w:r w:rsidRPr="00927C28">
        <w:rPr>
          <w:rFonts w:ascii="Verdana" w:hAnsi="Verdana" w:cs="Calibri"/>
          <w:sz w:val="18"/>
          <w:szCs w:val="18"/>
        </w:rPr>
        <w:t>Education Business Services (Stoke) Ltd s</w:t>
      </w:r>
      <w:r w:rsidRPr="00927C28">
        <w:rPr>
          <w:rFonts w:ascii="Verdana" w:hAnsi="Verdana" w:cs="HelveticaNeue-Light"/>
          <w:color w:val="000000"/>
          <w:sz w:val="18"/>
          <w:szCs w:val="18"/>
        </w:rPr>
        <w:t xml:space="preserve">taff have the opportunity to participate in the stakeholder pension scheme provided by Scottish Widows.  </w:t>
      </w:r>
    </w:p>
    <w:p w:rsidR="00F2713C" w:rsidRPr="00927C28" w:rsidRDefault="00F2713C" w:rsidP="00F2713C">
      <w:pPr>
        <w:jc w:val="both"/>
        <w:rPr>
          <w:rFonts w:ascii="Verdana" w:hAnsi="Verdana" w:cs="HelveticaNeue-Light"/>
          <w:color w:val="000000"/>
          <w:sz w:val="18"/>
          <w:szCs w:val="18"/>
        </w:rPr>
      </w:pPr>
    </w:p>
    <w:p w:rsidR="00F2713C" w:rsidRPr="00927C28" w:rsidRDefault="00F2713C" w:rsidP="00F2713C">
      <w:pPr>
        <w:jc w:val="both"/>
        <w:rPr>
          <w:rFonts w:ascii="Verdana" w:hAnsi="Verdana" w:cs="HelveticaNeue-Bold"/>
          <w:b/>
          <w:bCs/>
          <w:color w:val="4FC800"/>
          <w:sz w:val="18"/>
          <w:szCs w:val="18"/>
        </w:rPr>
      </w:pPr>
      <w:r w:rsidRPr="00927C28">
        <w:rPr>
          <w:rFonts w:ascii="Verdana" w:hAnsi="Verdana" w:cs="HelveticaNeue-Bold"/>
          <w:b/>
          <w:bCs/>
          <w:color w:val="4FC800"/>
          <w:sz w:val="18"/>
          <w:szCs w:val="18"/>
        </w:rPr>
        <w:t>Working Hours</w:t>
      </w:r>
    </w:p>
    <w:p w:rsidR="00F2713C" w:rsidRPr="00927C28" w:rsidRDefault="00F2713C" w:rsidP="00F2713C">
      <w:pPr>
        <w:jc w:val="both"/>
        <w:rPr>
          <w:rFonts w:ascii="Verdana" w:hAnsi="Verdana" w:cs="HelveticaNeue-Light"/>
          <w:color w:val="000000"/>
          <w:sz w:val="18"/>
          <w:szCs w:val="18"/>
        </w:rPr>
      </w:pPr>
      <w:r w:rsidRPr="00927C28">
        <w:rPr>
          <w:rFonts w:ascii="Verdana" w:hAnsi="Verdana" w:cs="HelveticaNeue-Light"/>
          <w:color w:val="000000"/>
          <w:sz w:val="18"/>
          <w:szCs w:val="18"/>
        </w:rPr>
        <w:t>The standard full time working week for all staff is 37 hours.</w:t>
      </w:r>
    </w:p>
    <w:p w:rsidR="00F2713C" w:rsidRPr="00927C28" w:rsidRDefault="00F2713C" w:rsidP="00F2713C">
      <w:pPr>
        <w:jc w:val="both"/>
        <w:rPr>
          <w:rFonts w:ascii="Verdana" w:hAnsi="Verdana" w:cs="HelveticaNeue-Bold"/>
          <w:b/>
          <w:bCs/>
          <w:color w:val="4FC800"/>
          <w:sz w:val="18"/>
          <w:szCs w:val="18"/>
        </w:rPr>
      </w:pPr>
    </w:p>
    <w:p w:rsidR="00F2713C" w:rsidRPr="00927C28" w:rsidRDefault="00F2713C" w:rsidP="00F2713C">
      <w:pPr>
        <w:jc w:val="both"/>
        <w:rPr>
          <w:rFonts w:ascii="Verdana" w:hAnsi="Verdana" w:cs="HelveticaNeue-Bold"/>
          <w:b/>
          <w:bCs/>
          <w:color w:val="4FC800"/>
          <w:sz w:val="18"/>
          <w:szCs w:val="18"/>
        </w:rPr>
      </w:pPr>
      <w:r w:rsidRPr="00927C28">
        <w:rPr>
          <w:rFonts w:ascii="Verdana" w:hAnsi="Verdana" w:cs="HelveticaNeue-Bold"/>
          <w:b/>
          <w:bCs/>
          <w:color w:val="4FC800"/>
          <w:sz w:val="18"/>
          <w:szCs w:val="18"/>
        </w:rPr>
        <w:t>Maternity, Paternity &amp; Adoption</w:t>
      </w:r>
    </w:p>
    <w:p w:rsidR="00F2713C" w:rsidRPr="00927C28" w:rsidRDefault="00F2713C" w:rsidP="00F2713C">
      <w:pPr>
        <w:jc w:val="both"/>
        <w:rPr>
          <w:rFonts w:ascii="Verdana" w:hAnsi="Verdana" w:cs="HelveticaNeue-Light"/>
          <w:color w:val="000000"/>
          <w:sz w:val="18"/>
          <w:szCs w:val="18"/>
        </w:rPr>
      </w:pPr>
      <w:r w:rsidRPr="00927C28">
        <w:rPr>
          <w:rFonts w:ascii="Verdana" w:hAnsi="Verdana" w:cs="HelveticaNeue-Light"/>
          <w:color w:val="000000"/>
          <w:sz w:val="18"/>
          <w:szCs w:val="18"/>
        </w:rPr>
        <w:t>The Company operates a Maternity, Paternity and Adoption schemes which provides for the normal statutory benefits.</w:t>
      </w:r>
    </w:p>
    <w:p w:rsidR="00F2713C" w:rsidRPr="00927C28" w:rsidRDefault="00F2713C" w:rsidP="00F2713C">
      <w:pPr>
        <w:jc w:val="both"/>
        <w:rPr>
          <w:rFonts w:ascii="Verdana" w:hAnsi="Verdana" w:cs="HelveticaNeue-Bold"/>
          <w:b/>
          <w:bCs/>
          <w:color w:val="4FC800"/>
          <w:sz w:val="18"/>
          <w:szCs w:val="18"/>
        </w:rPr>
      </w:pPr>
    </w:p>
    <w:p w:rsidR="00F2713C" w:rsidRPr="00927C28" w:rsidRDefault="00F2713C" w:rsidP="00F2713C">
      <w:pPr>
        <w:jc w:val="both"/>
        <w:rPr>
          <w:rFonts w:ascii="Verdana" w:hAnsi="Verdana" w:cs="HelveticaNeue-Bold"/>
          <w:b/>
          <w:bCs/>
          <w:color w:val="4FC800"/>
          <w:sz w:val="18"/>
          <w:szCs w:val="18"/>
        </w:rPr>
      </w:pPr>
      <w:r w:rsidRPr="00927C28">
        <w:rPr>
          <w:rFonts w:ascii="Verdana" w:hAnsi="Verdana" w:cs="HelveticaNeue-Bold"/>
          <w:b/>
          <w:bCs/>
          <w:color w:val="4FC800"/>
          <w:sz w:val="18"/>
          <w:szCs w:val="18"/>
        </w:rPr>
        <w:t>Sick Pay</w:t>
      </w:r>
    </w:p>
    <w:p w:rsidR="00F2713C" w:rsidRPr="00927C28" w:rsidRDefault="00F2713C" w:rsidP="00F2713C">
      <w:pPr>
        <w:jc w:val="both"/>
        <w:rPr>
          <w:rFonts w:ascii="Verdana" w:hAnsi="Verdana" w:cs="HelveticaNeue-Light"/>
          <w:color w:val="000000"/>
          <w:sz w:val="18"/>
          <w:szCs w:val="18"/>
        </w:rPr>
      </w:pPr>
      <w:r w:rsidRPr="00927C28">
        <w:rPr>
          <w:rFonts w:ascii="Verdana" w:hAnsi="Verdana" w:cs="HelveticaNeue-Light"/>
          <w:color w:val="000000"/>
          <w:sz w:val="18"/>
          <w:szCs w:val="18"/>
        </w:rPr>
        <w:t>The Company has a scheme of sickness benefits, which are over and above the statutory sickness entitlements.</w:t>
      </w:r>
    </w:p>
    <w:p w:rsidR="00F2713C" w:rsidRPr="00927C28" w:rsidRDefault="00F2713C" w:rsidP="00F2713C">
      <w:pPr>
        <w:jc w:val="both"/>
        <w:rPr>
          <w:rFonts w:ascii="Verdana" w:hAnsi="Verdana" w:cs="HelveticaNeue-Bold"/>
          <w:b/>
          <w:bCs/>
          <w:color w:val="4FC800"/>
          <w:sz w:val="18"/>
          <w:szCs w:val="18"/>
        </w:rPr>
      </w:pPr>
    </w:p>
    <w:p w:rsidR="00F2713C" w:rsidRPr="00927C28" w:rsidRDefault="00F2713C" w:rsidP="00F2713C">
      <w:pPr>
        <w:jc w:val="both"/>
        <w:rPr>
          <w:rFonts w:ascii="Verdana" w:hAnsi="Verdana" w:cs="HelveticaNeue-Bold"/>
          <w:b/>
          <w:bCs/>
          <w:color w:val="4FC800"/>
          <w:sz w:val="18"/>
          <w:szCs w:val="18"/>
        </w:rPr>
      </w:pPr>
      <w:r w:rsidRPr="00927C28">
        <w:rPr>
          <w:rFonts w:ascii="Verdana" w:hAnsi="Verdana" w:cs="HelveticaNeue-Bold"/>
          <w:b/>
          <w:bCs/>
          <w:color w:val="4FC800"/>
          <w:sz w:val="18"/>
          <w:szCs w:val="18"/>
        </w:rPr>
        <w:t>Training and Development</w:t>
      </w:r>
    </w:p>
    <w:p w:rsidR="00F2713C" w:rsidRPr="00927C28" w:rsidRDefault="00F2713C" w:rsidP="00F2713C">
      <w:pPr>
        <w:jc w:val="both"/>
        <w:rPr>
          <w:rFonts w:ascii="Verdana" w:hAnsi="Verdana" w:cs="HelveticaNeue-Light"/>
          <w:color w:val="000000"/>
          <w:sz w:val="18"/>
          <w:szCs w:val="18"/>
        </w:rPr>
      </w:pPr>
      <w:r w:rsidRPr="00927C28">
        <w:rPr>
          <w:rFonts w:ascii="Verdana" w:hAnsi="Verdana" w:cs="Calibri"/>
          <w:sz w:val="18"/>
          <w:szCs w:val="18"/>
        </w:rPr>
        <w:t xml:space="preserve">Education Business Services (Stoke) Ltd </w:t>
      </w:r>
      <w:r w:rsidRPr="00927C28">
        <w:rPr>
          <w:rFonts w:ascii="Verdana" w:hAnsi="Verdana" w:cs="HelveticaNeue-Light"/>
          <w:color w:val="000000"/>
          <w:sz w:val="18"/>
          <w:szCs w:val="18"/>
        </w:rPr>
        <w:t xml:space="preserve">is committed to the professional and personal development of all our employees. Individual Training and Development plans are formulated via the staff </w:t>
      </w:r>
      <w:r w:rsidRPr="00927C28">
        <w:rPr>
          <w:rFonts w:ascii="Verdana" w:hAnsi="Verdana" w:cs="HelveticaNeue-Light"/>
          <w:sz w:val="18"/>
          <w:szCs w:val="18"/>
        </w:rPr>
        <w:t>performance</w:t>
      </w:r>
      <w:r w:rsidRPr="00927C28">
        <w:rPr>
          <w:rFonts w:ascii="Verdana" w:hAnsi="Verdana" w:cs="HelveticaNeue-Light"/>
          <w:color w:val="000000"/>
          <w:sz w:val="18"/>
          <w:szCs w:val="18"/>
        </w:rPr>
        <w:t xml:space="preserve"> review system.</w:t>
      </w:r>
    </w:p>
    <w:p w:rsidR="00F2713C" w:rsidRPr="00927C28" w:rsidRDefault="00F2713C" w:rsidP="00F2713C">
      <w:pPr>
        <w:jc w:val="both"/>
        <w:rPr>
          <w:rFonts w:ascii="Verdana" w:hAnsi="Verdana" w:cs="HelveticaNeue-Bold"/>
          <w:b/>
          <w:bCs/>
          <w:color w:val="4FC800"/>
          <w:sz w:val="18"/>
          <w:szCs w:val="18"/>
        </w:rPr>
      </w:pPr>
    </w:p>
    <w:p w:rsidR="00F2713C" w:rsidRPr="00927C28" w:rsidRDefault="00F2713C" w:rsidP="00F2713C">
      <w:pPr>
        <w:jc w:val="both"/>
        <w:rPr>
          <w:rFonts w:ascii="Verdana" w:hAnsi="Verdana" w:cs="HelveticaNeue-Bold"/>
          <w:b/>
          <w:bCs/>
          <w:color w:val="4FC800"/>
          <w:sz w:val="18"/>
          <w:szCs w:val="18"/>
        </w:rPr>
      </w:pPr>
      <w:r w:rsidRPr="00927C28">
        <w:rPr>
          <w:rFonts w:ascii="Verdana" w:hAnsi="Verdana" w:cs="HelveticaNeue-Bold"/>
          <w:b/>
          <w:bCs/>
          <w:color w:val="4FC800"/>
          <w:sz w:val="18"/>
          <w:szCs w:val="18"/>
        </w:rPr>
        <w:t>Holidays</w:t>
      </w:r>
    </w:p>
    <w:p w:rsidR="00F2713C" w:rsidRDefault="00F2713C" w:rsidP="00F2713C">
      <w:pPr>
        <w:autoSpaceDE w:val="0"/>
        <w:autoSpaceDN w:val="0"/>
        <w:adjustRightInd w:val="0"/>
        <w:jc w:val="both"/>
        <w:rPr>
          <w:rFonts w:ascii="Verdana" w:hAnsi="Verdana" w:cs="HelveticaNeue-Light"/>
          <w:color w:val="000000"/>
          <w:sz w:val="18"/>
          <w:szCs w:val="18"/>
        </w:rPr>
      </w:pPr>
      <w:r>
        <w:rPr>
          <w:rFonts w:ascii="Verdana" w:hAnsi="Verdana" w:cs="Calibri"/>
          <w:sz w:val="18"/>
          <w:szCs w:val="18"/>
        </w:rPr>
        <w:t>Education Business Services (Stoke) Ltd s</w:t>
      </w:r>
      <w:r>
        <w:rPr>
          <w:rFonts w:ascii="Verdana" w:hAnsi="Verdana" w:cs="HelveticaNeue-Light"/>
          <w:color w:val="000000"/>
          <w:sz w:val="18"/>
          <w:szCs w:val="18"/>
        </w:rPr>
        <w:t>taff are entitled to 32 days plus 8 bank holidays (40 days in total).  There are a number of directed leave days each academic year and these are set out in the College Calendar.  Typically these directed leave days will be during Christmas, Easter and in the summer period where the College will close its sites in the interests of efficiency.</w:t>
      </w:r>
    </w:p>
    <w:p w:rsidR="00F2713C" w:rsidRPr="00927C28" w:rsidRDefault="00F2713C" w:rsidP="00F2713C">
      <w:pPr>
        <w:jc w:val="both"/>
        <w:rPr>
          <w:rFonts w:ascii="Verdana" w:hAnsi="Verdana" w:cs="HelveticaNeue-Bold"/>
          <w:b/>
          <w:bCs/>
          <w:color w:val="4FC800"/>
          <w:sz w:val="18"/>
          <w:szCs w:val="18"/>
        </w:rPr>
      </w:pPr>
    </w:p>
    <w:p w:rsidR="00F2713C" w:rsidRPr="00927C28" w:rsidRDefault="00F2713C" w:rsidP="00F2713C">
      <w:pPr>
        <w:jc w:val="both"/>
        <w:rPr>
          <w:rFonts w:ascii="Verdana" w:hAnsi="Verdana" w:cs="HelveticaNeue-Bold"/>
          <w:b/>
          <w:bCs/>
          <w:color w:val="4FC800"/>
          <w:sz w:val="18"/>
          <w:szCs w:val="18"/>
        </w:rPr>
      </w:pPr>
      <w:r w:rsidRPr="00927C28">
        <w:rPr>
          <w:rFonts w:ascii="Verdana" w:hAnsi="Verdana" w:cs="HelveticaNeue-Bold"/>
          <w:b/>
          <w:bCs/>
          <w:color w:val="4FC800"/>
          <w:sz w:val="18"/>
          <w:szCs w:val="18"/>
        </w:rPr>
        <w:t>Staff Parking</w:t>
      </w:r>
    </w:p>
    <w:p w:rsidR="00F2713C" w:rsidRPr="00927C28" w:rsidRDefault="00F2713C" w:rsidP="00F2713C">
      <w:pPr>
        <w:jc w:val="both"/>
        <w:rPr>
          <w:rFonts w:ascii="Verdana" w:hAnsi="Verdana" w:cs="HelveticaNeue-Light"/>
          <w:color w:val="000000"/>
          <w:sz w:val="18"/>
          <w:szCs w:val="18"/>
        </w:rPr>
      </w:pPr>
      <w:r w:rsidRPr="00927C28">
        <w:rPr>
          <w:rFonts w:ascii="Verdana" w:hAnsi="Verdana" w:cs="HelveticaNeue-Light"/>
          <w:color w:val="000000"/>
          <w:sz w:val="18"/>
          <w:szCs w:val="18"/>
        </w:rPr>
        <w:t xml:space="preserve">Free and generous parking space is available on site subject to availability at peak times.  </w:t>
      </w:r>
    </w:p>
    <w:p w:rsidR="00F2713C" w:rsidRPr="00927C28" w:rsidRDefault="00F2713C" w:rsidP="00F2713C">
      <w:pPr>
        <w:jc w:val="both"/>
        <w:rPr>
          <w:rFonts w:ascii="Verdana" w:hAnsi="Verdana" w:cs="HelveticaNeue-Bold"/>
          <w:b/>
          <w:bCs/>
          <w:color w:val="4FC800"/>
          <w:sz w:val="18"/>
          <w:szCs w:val="18"/>
        </w:rPr>
      </w:pPr>
    </w:p>
    <w:p w:rsidR="00F2713C" w:rsidRPr="00927C28" w:rsidRDefault="00F2713C" w:rsidP="00F2713C">
      <w:pPr>
        <w:jc w:val="both"/>
        <w:rPr>
          <w:rFonts w:ascii="Verdana" w:hAnsi="Verdana" w:cs="HelveticaNeue-Bold"/>
          <w:b/>
          <w:bCs/>
          <w:color w:val="4FC800"/>
          <w:sz w:val="18"/>
          <w:szCs w:val="18"/>
        </w:rPr>
      </w:pPr>
      <w:r w:rsidRPr="00927C28">
        <w:rPr>
          <w:rFonts w:ascii="Verdana" w:hAnsi="Verdana" w:cs="HelveticaNeue-Bold"/>
          <w:b/>
          <w:bCs/>
          <w:color w:val="4FC800"/>
          <w:sz w:val="18"/>
          <w:szCs w:val="18"/>
        </w:rPr>
        <w:t>Salary Payments</w:t>
      </w:r>
    </w:p>
    <w:p w:rsidR="00F2713C" w:rsidRPr="00927C28" w:rsidRDefault="00F2713C" w:rsidP="00F2713C">
      <w:pPr>
        <w:jc w:val="both"/>
        <w:rPr>
          <w:rFonts w:ascii="Verdana" w:hAnsi="Verdana" w:cs="HelveticaNeue-Light"/>
          <w:color w:val="000000"/>
          <w:sz w:val="18"/>
          <w:szCs w:val="18"/>
        </w:rPr>
      </w:pPr>
      <w:r w:rsidRPr="00927C28">
        <w:rPr>
          <w:rFonts w:ascii="Verdana" w:hAnsi="Verdana" w:cs="HelveticaNeue-Light"/>
          <w:color w:val="000000"/>
          <w:sz w:val="18"/>
          <w:szCs w:val="18"/>
        </w:rPr>
        <w:t>Salary is paid by direct credit transfer to your bank or building society account in 12 equal parts. Payment is made on the 27th day of each month or the next working day thereafter.</w:t>
      </w:r>
    </w:p>
    <w:p w:rsidR="00F2713C" w:rsidRPr="00927C28" w:rsidRDefault="00F2713C" w:rsidP="00F2713C">
      <w:pPr>
        <w:jc w:val="both"/>
        <w:rPr>
          <w:rFonts w:ascii="Verdana" w:hAnsi="Verdana" w:cs="HelveticaNeue-Bold"/>
          <w:b/>
          <w:bCs/>
          <w:color w:val="4FC800"/>
          <w:sz w:val="18"/>
          <w:szCs w:val="18"/>
        </w:rPr>
      </w:pPr>
    </w:p>
    <w:p w:rsidR="00F2713C" w:rsidRPr="00927C28" w:rsidRDefault="00F2713C" w:rsidP="00F2713C">
      <w:pPr>
        <w:jc w:val="both"/>
        <w:rPr>
          <w:rFonts w:ascii="Verdana" w:hAnsi="Verdana" w:cs="HelveticaNeue-Bold"/>
          <w:b/>
          <w:bCs/>
          <w:color w:val="4FC800"/>
          <w:sz w:val="18"/>
          <w:szCs w:val="18"/>
        </w:rPr>
      </w:pPr>
      <w:r w:rsidRPr="00927C28">
        <w:rPr>
          <w:rFonts w:ascii="Verdana" w:hAnsi="Verdana" w:cs="HelveticaNeue-Bold"/>
          <w:b/>
          <w:bCs/>
          <w:color w:val="4FC800"/>
          <w:sz w:val="18"/>
          <w:szCs w:val="18"/>
        </w:rPr>
        <w:t>Notice Periods</w:t>
      </w:r>
    </w:p>
    <w:p w:rsidR="00F2713C" w:rsidRPr="00927C28" w:rsidRDefault="00F2713C" w:rsidP="00F2713C">
      <w:pPr>
        <w:jc w:val="both"/>
        <w:rPr>
          <w:rFonts w:ascii="Verdana" w:hAnsi="Verdana" w:cs="HelveticaNeue-Light"/>
          <w:color w:val="000000"/>
          <w:sz w:val="18"/>
          <w:szCs w:val="18"/>
        </w:rPr>
      </w:pPr>
      <w:r w:rsidRPr="00927C28">
        <w:rPr>
          <w:rFonts w:ascii="Verdana" w:hAnsi="Verdana" w:cs="HelveticaNeue-Light"/>
          <w:color w:val="000000"/>
          <w:sz w:val="18"/>
          <w:szCs w:val="18"/>
        </w:rPr>
        <w:t>The amount of notice you are required to give and entitled to receive is 1 months.  Fixed term appointments may be offered with a notice period of one week, depending upon the length of the fixed term. The notice period applicable during a probationary period is 1 week.</w:t>
      </w:r>
    </w:p>
    <w:p w:rsidR="00F2713C" w:rsidRPr="00927C28" w:rsidRDefault="00F2713C" w:rsidP="00F2713C">
      <w:pPr>
        <w:jc w:val="both"/>
        <w:rPr>
          <w:rFonts w:ascii="Verdana" w:hAnsi="Verdana" w:cs="HelveticaNeue-Bold"/>
          <w:b/>
          <w:bCs/>
          <w:color w:val="4FC800"/>
          <w:sz w:val="18"/>
          <w:szCs w:val="18"/>
        </w:rPr>
      </w:pPr>
    </w:p>
    <w:p w:rsidR="00F2713C" w:rsidRPr="00927C28" w:rsidRDefault="00F2713C" w:rsidP="00F2713C">
      <w:pPr>
        <w:jc w:val="both"/>
        <w:rPr>
          <w:rFonts w:ascii="Verdana" w:hAnsi="Verdana" w:cs="HelveticaNeue-Bold"/>
          <w:b/>
          <w:bCs/>
          <w:color w:val="4FC800"/>
          <w:sz w:val="18"/>
          <w:szCs w:val="18"/>
        </w:rPr>
      </w:pPr>
      <w:r w:rsidRPr="00927C28">
        <w:rPr>
          <w:rFonts w:ascii="Verdana" w:hAnsi="Verdana" w:cs="HelveticaNeue-Bold"/>
          <w:b/>
          <w:bCs/>
          <w:color w:val="4FC800"/>
          <w:sz w:val="18"/>
          <w:szCs w:val="18"/>
        </w:rPr>
        <w:t>Location of Work</w:t>
      </w:r>
    </w:p>
    <w:p w:rsidR="00F2713C" w:rsidRPr="00927C28" w:rsidRDefault="00F2713C" w:rsidP="00F2713C">
      <w:pPr>
        <w:jc w:val="both"/>
        <w:rPr>
          <w:rFonts w:ascii="Verdana" w:hAnsi="Verdana" w:cs="HelveticaNeue-Light"/>
          <w:color w:val="000000"/>
          <w:sz w:val="18"/>
          <w:szCs w:val="18"/>
        </w:rPr>
      </w:pPr>
      <w:r w:rsidRPr="00927C28">
        <w:rPr>
          <w:rFonts w:ascii="Verdana" w:hAnsi="Verdana" w:cs="HelveticaNeue-Light"/>
          <w:color w:val="000000"/>
          <w:sz w:val="18"/>
          <w:szCs w:val="18"/>
        </w:rPr>
        <w:t>Your principal place of work will be at the site given in the job description of the post. However, you may be required to work on either temporary or indefinite basis, at any premises at which the Company may from time to time provide services.</w:t>
      </w:r>
    </w:p>
    <w:p w:rsidR="00F2713C" w:rsidRPr="00927C28" w:rsidRDefault="00F2713C" w:rsidP="00F2713C">
      <w:pPr>
        <w:jc w:val="both"/>
        <w:rPr>
          <w:rFonts w:ascii="Verdana" w:hAnsi="Verdana" w:cs="HelveticaNeue-Bold"/>
          <w:b/>
          <w:bCs/>
          <w:color w:val="4FC800"/>
          <w:sz w:val="18"/>
          <w:szCs w:val="18"/>
        </w:rPr>
      </w:pPr>
    </w:p>
    <w:p w:rsidR="00F2713C" w:rsidRPr="00927C28" w:rsidRDefault="00F2713C" w:rsidP="00F2713C">
      <w:pPr>
        <w:jc w:val="both"/>
        <w:rPr>
          <w:rFonts w:ascii="Verdana" w:hAnsi="Verdana" w:cs="HelveticaNeue-Bold"/>
          <w:b/>
          <w:bCs/>
          <w:color w:val="4FC800"/>
          <w:sz w:val="18"/>
          <w:szCs w:val="18"/>
        </w:rPr>
      </w:pPr>
      <w:r w:rsidRPr="00927C28">
        <w:rPr>
          <w:rFonts w:ascii="Verdana" w:hAnsi="Verdana" w:cs="HelveticaNeue-Bold"/>
          <w:b/>
          <w:bCs/>
          <w:color w:val="4FC800"/>
          <w:sz w:val="18"/>
          <w:szCs w:val="18"/>
        </w:rPr>
        <w:t>Equality of Opportunity</w:t>
      </w:r>
    </w:p>
    <w:p w:rsidR="00F2713C" w:rsidRPr="00927C28" w:rsidRDefault="00F2713C" w:rsidP="00F2713C">
      <w:pPr>
        <w:jc w:val="both"/>
        <w:rPr>
          <w:rFonts w:ascii="Verdana" w:hAnsi="Verdana"/>
          <w:sz w:val="18"/>
          <w:szCs w:val="18"/>
        </w:rPr>
      </w:pPr>
      <w:r w:rsidRPr="00927C28">
        <w:rPr>
          <w:rFonts w:ascii="Verdana" w:hAnsi="Verdana" w:cs="Calibri"/>
          <w:sz w:val="18"/>
          <w:szCs w:val="18"/>
        </w:rPr>
        <w:t xml:space="preserve">Education Business Services (Stoke) Ltd </w:t>
      </w:r>
      <w:r w:rsidRPr="00927C28">
        <w:rPr>
          <w:rFonts w:ascii="Verdana" w:hAnsi="Verdana" w:cs="HelveticaNeue-Light"/>
          <w:color w:val="000000"/>
          <w:sz w:val="18"/>
          <w:szCs w:val="18"/>
        </w:rPr>
        <w:t>is committed to the principle of equal opportunity. We will ensure that no employee, applicant for employment or student receives less favourable treatment on any grounds, which cannot be seen to be justified in relation to employment, education and training.</w:t>
      </w:r>
    </w:p>
    <w:p w:rsidR="00F2713C" w:rsidRDefault="00F2713C" w:rsidP="00F2713C">
      <w:pPr>
        <w:rPr>
          <w:rFonts w:ascii="Verdana" w:hAnsi="Verdana"/>
          <w:b/>
        </w:rPr>
      </w:pPr>
    </w:p>
    <w:p w:rsidR="00F2713C" w:rsidRPr="001775B4" w:rsidRDefault="00F2713C" w:rsidP="00F2713C"/>
    <w:p w:rsidR="00A2783F" w:rsidRDefault="00A2783F"/>
    <w:sectPr w:rsidR="00A2783F">
      <w:pgSz w:w="11907" w:h="16840"/>
      <w:pgMar w:top="567" w:right="1134" w:bottom="306"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Neue-Bold">
    <w:panose1 w:val="00000000000000000000"/>
    <w:charset w:val="00"/>
    <w:family w:val="swiss"/>
    <w:notTrueType/>
    <w:pitch w:val="default"/>
    <w:sig w:usb0="00000003" w:usb1="00000000" w:usb2="00000000" w:usb3="00000000" w:csb0="00000001" w:csb1="00000000"/>
  </w:font>
  <w:font w:name="HelveticaNeue-Light">
    <w:panose1 w:val="00000000000000000000"/>
    <w:charset w:val="00"/>
    <w:family w:val="swiss"/>
    <w:notTrueType/>
    <w:pitch w:val="default"/>
    <w:sig w:usb0="00000003" w:usb1="00000000" w:usb2="00000000" w:usb3="00000000" w:csb0="00000001" w:csb1="00000000"/>
  </w:font>
  <w:font w:name="HelveticaNeue-LightItalic">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13C"/>
    <w:rsid w:val="00A2783F"/>
    <w:rsid w:val="00D625B4"/>
    <w:rsid w:val="00F271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DDD51"/>
  <w15:chartTrackingRefBased/>
  <w15:docId w15:val="{79344928-8746-404C-BF4F-B2CF9550E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713C"/>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427</Words>
  <Characters>2435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Podmore, Becky</dc:creator>
  <cp:keywords/>
  <dc:description/>
  <cp:lastModifiedBy>Podmore, Becky</cp:lastModifiedBy>
  <cp:revision>2</cp:revision>
  <dcterms:created xsi:type="dcterms:W3CDTF">2019-12-03T10:54:00Z</dcterms:created>
  <dcterms:modified xsi:type="dcterms:W3CDTF">2019-12-04T10:15:00Z</dcterms:modified>
</cp:coreProperties>
</file>